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85" w:rsidRPr="00187485" w:rsidRDefault="00187485" w:rsidP="00187485">
      <w:pPr>
        <w:spacing w:before="240" w:after="200" w:line="276" w:lineRule="auto"/>
        <w:jc w:val="both"/>
        <w:rPr>
          <w:rFonts w:ascii="Calibri" w:eastAsia="Calibri" w:hAnsi="Calibri" w:cs="Calibri"/>
          <w:i/>
          <w:sz w:val="28"/>
        </w:rPr>
      </w:pPr>
      <w:proofErr w:type="spellStart"/>
      <w:r w:rsidRPr="00187485">
        <w:rPr>
          <w:rFonts w:ascii="Calibri" w:eastAsia="Calibri" w:hAnsi="Calibri" w:cs="Calibri"/>
          <w:i/>
          <w:sz w:val="28"/>
        </w:rPr>
        <w:t>Disclaimer</w:t>
      </w:r>
      <w:proofErr w:type="spellEnd"/>
      <w:r w:rsidRPr="00187485">
        <w:rPr>
          <w:rFonts w:ascii="Calibri" w:eastAsia="Calibri" w:hAnsi="Calibri" w:cs="Calibri"/>
          <w:i/>
          <w:sz w:val="28"/>
        </w:rPr>
        <w:t>:</w:t>
      </w:r>
    </w:p>
    <w:p w:rsidR="00187485" w:rsidRPr="00187485" w:rsidRDefault="00187485" w:rsidP="00187485">
      <w:pPr>
        <w:spacing w:before="240" w:after="200" w:line="276" w:lineRule="auto"/>
        <w:jc w:val="both"/>
        <w:rPr>
          <w:rFonts w:ascii="Calibri" w:eastAsia="Calibri" w:hAnsi="Calibri" w:cs="Calibri"/>
          <w:i/>
          <w:sz w:val="28"/>
        </w:rPr>
      </w:pPr>
      <w:r w:rsidRPr="00187485">
        <w:rPr>
          <w:rFonts w:ascii="Calibri" w:eastAsia="Calibri" w:hAnsi="Calibri" w:cs="Calibri"/>
          <w:i/>
          <w:sz w:val="28"/>
        </w:rPr>
        <w:t>Vezměte prosím v potaz, že tento dokument je vyhotoven pouze jako doplňkový studijní materiál ke kurzu umístěnému na portále seduo.cz. Jedná se o vzorový dokument, který nenahrazuje a ani nemůže jakkoliv nahradit právní služby poskytované advokáty dle konkrétních požadavků klienta. Využitím tohoto vzoru bere uživatel vše výše uvedené na vědomí a zavazuje se, že nebude požadovat případnou náhradu způsobené újmy v jakékoliv formě.</w:t>
      </w:r>
    </w:p>
    <w:p w:rsidR="00442C59" w:rsidRDefault="00442C59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6212D0" w:rsidRPr="00187485" w:rsidRDefault="00187485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Kamil Pracovitý</w:t>
      </w:r>
    </w:p>
    <w:p w:rsidR="00187485" w:rsidRDefault="00187485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Nová 789, 779 00 Olomouc</w:t>
      </w:r>
    </w:p>
    <w:p w:rsidR="00187485" w:rsidRPr="00B4015A" w:rsidRDefault="00187485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(zaměstnanec)</w:t>
      </w:r>
    </w:p>
    <w:p w:rsidR="00187485" w:rsidRDefault="006212D0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 vlastních rukou </w:t>
      </w:r>
      <w:r w:rsidR="00B4015A" w:rsidRPr="00B4015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výhradně </w:t>
      </w:r>
      <w:r w:rsidRPr="00B4015A">
        <w:rPr>
          <w:rFonts w:asciiTheme="minorHAnsi" w:hAnsiTheme="minorHAnsi" w:cstheme="minorHAnsi"/>
          <w:b/>
          <w:color w:val="000000"/>
          <w:sz w:val="22"/>
          <w:szCs w:val="22"/>
        </w:rPr>
        <w:t>adresáta</w:t>
      </w:r>
    </w:p>
    <w:p w:rsidR="00442C59" w:rsidRPr="00B4015A" w:rsidRDefault="00442C59" w:rsidP="00442C59">
      <w:pPr>
        <w:pStyle w:val="Normln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</w:p>
    <w:p w:rsidR="00AD6ABC" w:rsidRPr="00B4015A" w:rsidRDefault="00AD6ABC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right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                                                                                            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V</w:t>
      </w:r>
      <w:r w:rsidR="00B4015A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 Olomouci 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dne </w:t>
      </w:r>
      <w:r w:rsidR="00292439" w:rsidRPr="00187485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0A6C09" w:rsidRPr="00187485">
        <w:rPr>
          <w:rFonts w:asciiTheme="minorHAnsi" w:hAnsiTheme="minorHAnsi" w:cstheme="minorHAnsi"/>
          <w:sz w:val="22"/>
          <w:szCs w:val="22"/>
          <w:highlight w:val="yellow"/>
        </w:rPr>
        <w:t>8</w:t>
      </w:r>
      <w:r w:rsidR="00292439" w:rsidRPr="00187485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B4015A" w:rsidRPr="0018748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92439" w:rsidRPr="00187485">
        <w:rPr>
          <w:rFonts w:asciiTheme="minorHAnsi" w:hAnsiTheme="minorHAnsi" w:cstheme="minorHAnsi"/>
          <w:sz w:val="22"/>
          <w:szCs w:val="22"/>
          <w:highlight w:val="yellow"/>
        </w:rPr>
        <w:t>03</w:t>
      </w:r>
      <w:r w:rsidRPr="00187485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B4015A" w:rsidRPr="0018748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87485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292439" w:rsidRPr="00187485">
        <w:rPr>
          <w:rFonts w:asciiTheme="minorHAnsi" w:hAnsiTheme="minorHAnsi" w:cstheme="minorHAnsi"/>
          <w:sz w:val="22"/>
          <w:szCs w:val="22"/>
          <w:highlight w:val="yellow"/>
        </w:rPr>
        <w:t>20</w:t>
      </w:r>
    </w:p>
    <w:p w:rsidR="00AD6ABC" w:rsidRPr="00187485" w:rsidRDefault="00187485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Theme="minorHAnsi" w:hAnsiTheme="minorHAnsi" w:cstheme="minorHAnsi"/>
          <w:color w:val="000000" w:themeColor="text1"/>
          <w:sz w:val="28"/>
          <w:szCs w:val="22"/>
        </w:rPr>
      </w:pPr>
      <w:r w:rsidRPr="00187485"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bdr w:val="none" w:sz="0" w:space="0" w:color="auto" w:frame="1"/>
        </w:rPr>
        <w:t>VÝPOVĚĎ DANÁ ZAMĚSTNAVATELEM DLE § 52 PÍSM. C) ZÁKONA Č. 262/2006 SB., ZÁKONÍKU PRÁCE VE ZNĚNÍ POZDĚJŠÍCH PŘEDPISŮ (DÁLE JEN JAKO "ZPr")</w:t>
      </w:r>
    </w:p>
    <w:p w:rsidR="006212D0" w:rsidRPr="00B4015A" w:rsidRDefault="00AD6ABC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Na základě pracovní smlouvy, uzavřené dne </w:t>
      </w:r>
      <w:r w:rsidR="000A6C09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2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  <w:r w:rsidR="00B4015A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="000A6C09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5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  <w:r w:rsidR="00187485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2010</w:t>
      </w:r>
      <w:r w:rsidR="00B51F94" w:rsidRPr="00B4015A">
        <w:rPr>
          <w:rFonts w:asciiTheme="minorHAnsi" w:hAnsiTheme="minorHAnsi" w:cstheme="minorHAnsi"/>
          <w:color w:val="000000"/>
          <w:sz w:val="22"/>
          <w:szCs w:val="22"/>
        </w:rPr>
        <w:t>, ve znění jejich pozdějších dodatků</w:t>
      </w:r>
      <w:r w:rsidR="00B4015A"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jste zaměstnán 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ve společnosti </w:t>
      </w:r>
      <w:r w:rsidR="00187485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ABCD s.r.o., IČ: 12345678, se sídlem Pražská 123, Praha 1</w:t>
      </w:r>
      <w:r w:rsidR="001874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187485">
        <w:rPr>
          <w:rFonts w:asciiTheme="minorHAnsi" w:hAnsiTheme="minorHAnsi" w:cstheme="minorHAnsi"/>
          <w:color w:val="000000"/>
          <w:sz w:val="22"/>
          <w:szCs w:val="22"/>
        </w:rPr>
        <w:t xml:space="preserve">pracovní 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pozici </w:t>
      </w:r>
      <w:r w:rsidR="00187485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dělník pásové výroby</w:t>
      </w:r>
      <w:r w:rsidR="006212D0" w:rsidRPr="00B4015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4015A" w:rsidRPr="00B4015A" w:rsidRDefault="006212D0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S ohledem na současnou situaci, kdy </w:t>
      </w:r>
      <w:r w:rsidR="00187485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razantně poklesl počet zakázek na další kvartál roku 2020, jsme nuceni regulovat počet zaměstnanců na pozici dělník pásové výroby na úplné minimum</w:t>
      </w:r>
      <w:r w:rsidR="00B4015A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. </w:t>
      </w:r>
      <w:r w:rsidRPr="00187485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Tato organizační změna n</w:t>
      </w:r>
      <w:r w:rsidR="00170A19" w:rsidRPr="00187485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abývá účinnosti dne 31. 5. 2020.</w:t>
      </w:r>
    </w:p>
    <w:p w:rsidR="00B4015A" w:rsidRP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V důsledku přijaté organizační změny se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aměstnanec stává pro </w:t>
      </w:r>
      <w:r w:rsidR="00946D9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aměstnavatele nadbytečným. Jelikož ustanovení § 52 písm. c) ZP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 umožňuje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aměstnavateli, aby reguloval počet svých zaměstnanců tak, jak to odpovídá jeho aktuálním potřebám, je podávána tato výpověď.</w:t>
      </w:r>
    </w:p>
    <w:p w:rsidR="00B4015A" w:rsidRP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Účelem přijaté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rganizační změny je snížení počtu zaměstnanců za účelem zvýšení efektivnosti práce, kdy snížením počtu zaměstnanců sleduje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aměst</w:t>
      </w:r>
      <w:r>
        <w:rPr>
          <w:rFonts w:asciiTheme="minorHAnsi" w:hAnsiTheme="minorHAnsi" w:cstheme="minorHAnsi"/>
          <w:color w:val="000000"/>
          <w:sz w:val="22"/>
          <w:szCs w:val="22"/>
        </w:rPr>
        <w:t>navatel úsporu mzdových nákladů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, neboť je přesvědčen, že současný objem práce lze bez obtíží zvládnout i s redukovaným </w:t>
      </w:r>
      <w:r>
        <w:rPr>
          <w:rFonts w:asciiTheme="minorHAnsi" w:hAnsiTheme="minorHAnsi" w:cstheme="minorHAnsi"/>
          <w:color w:val="000000"/>
          <w:sz w:val="22"/>
          <w:szCs w:val="22"/>
        </w:rPr>
        <w:t>počtem jednotlivých zaměstnanců.</w:t>
      </w:r>
    </w:p>
    <w:p w:rsidR="006212D0" w:rsidRP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Zaměstnavatel je nucen se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aměstnancem rozvázat pracovní poměr touto výpovědí, neboť práce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aměstnance není od účinnosti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rganizační změny pro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aměstnavatele nadále potřebná a výběr nadbytečných zaměstnanců ponechává ZP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 zcela v dispozici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aměstnavatele. Organizační změna je pak bezprostřední příčinnou nadbytečnosti Zaměstnance.</w:t>
      </w:r>
    </w:p>
    <w:p w:rsid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>Pracovní poměr skončí uplynutím výpovědní doby. Výpovědní doba začíná prvním dnem kalendářního měsíce následujícího po doručení výpovědi a končí uplynutím posledního dne příslušného kalendářního měsíce, s výjimkami vyplývajícími z § 51a, § 53 odst. 2, § 54 písm. c) a § 63 ZP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4015A">
        <w:rPr>
          <w:rFonts w:asciiTheme="minorHAnsi" w:hAnsiTheme="minorHAnsi" w:cstheme="minorHAnsi"/>
          <w:color w:val="000000"/>
          <w:sz w:val="22"/>
          <w:szCs w:val="22"/>
        </w:rPr>
        <w:t>Zaměstnanec odevzdá ke dni skončení pracovního poměru veškeré předměty svěřené mu k výkonu práce ve stavu, v jakém je převzal a to včetně veške</w:t>
      </w:r>
      <w:r>
        <w:rPr>
          <w:rFonts w:asciiTheme="minorHAnsi" w:hAnsiTheme="minorHAnsi" w:cstheme="minorHAnsi"/>
          <w:color w:val="000000"/>
          <w:sz w:val="22"/>
          <w:szCs w:val="22"/>
        </w:rPr>
        <w:t>rých klíčů, přístupových hesel</w:t>
      </w:r>
      <w:r w:rsidRPr="00B4015A">
        <w:rPr>
          <w:rFonts w:asciiTheme="minorHAnsi" w:hAnsiTheme="minorHAnsi" w:cstheme="minorHAnsi"/>
          <w:color w:val="000000"/>
          <w:sz w:val="22"/>
          <w:szCs w:val="22"/>
        </w:rPr>
        <w:t xml:space="preserve"> apod.</w:t>
      </w:r>
    </w:p>
    <w:p w:rsidR="00B4015A" w:rsidRPr="00B4015A" w:rsidRDefault="00B4015A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Zaměstnanci náleží d</w:t>
      </w:r>
      <w:r w:rsidR="00AD6ABC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le pracovní smlouvy a § 67 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odst. 1 ZPr</w:t>
      </w:r>
      <w:r w:rsidR="00AD6ABC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zákonné </w:t>
      </w:r>
      <w:r w:rsidR="00AD6ABC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odstupné ve výši trojnásobku </w:t>
      </w:r>
      <w:r w:rsidR="006212D0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průměrného výdělku</w:t>
      </w:r>
      <w:r w:rsidR="00AD6ABC"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:rsidR="00AD6ABC" w:rsidRPr="00187485" w:rsidRDefault="00187485" w:rsidP="00B4015A">
      <w:pPr>
        <w:pStyle w:val="Normlnweb"/>
        <w:shd w:val="clear" w:color="auto" w:fill="FFFFFF"/>
        <w:spacing w:before="240" w:beforeAutospacing="0" w:after="24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ABCD s.r.o.</w:t>
      </w:r>
    </w:p>
    <w:p w:rsidR="00442C59" w:rsidRDefault="00187485" w:rsidP="00442C59">
      <w:pPr>
        <w:pStyle w:val="Normlnweb"/>
        <w:shd w:val="clear" w:color="auto" w:fill="FFFFFF"/>
        <w:spacing w:before="240" w:beforeAutospacing="0" w:after="24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18748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Ing. Karel Novák, jednatel</w:t>
      </w:r>
    </w:p>
    <w:p w:rsidR="00442C59" w:rsidRPr="00442C59" w:rsidRDefault="00442C59" w:rsidP="00442C59">
      <w:pPr>
        <w:pStyle w:val="Normlnweb"/>
        <w:shd w:val="clear" w:color="auto" w:fill="FFFFFF"/>
        <w:spacing w:before="240" w:beforeAutospacing="0" w:after="240" w:afterAutospacing="0" w:line="375" w:lineRule="atLeast"/>
        <w:jc w:val="right"/>
        <w:textAlignment w:val="baseline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442C59" w:rsidRPr="00442C59" w:rsidRDefault="00442C59" w:rsidP="00442C59">
      <w:pPr>
        <w:jc w:val="both"/>
        <w:rPr>
          <w:rFonts w:eastAsia="Times New Roman" w:cstheme="minorHAnsi"/>
          <w:color w:val="000000"/>
          <w:highlight w:val="yellow"/>
          <w:lang w:eastAsia="cs-CZ"/>
        </w:rPr>
      </w:pPr>
      <w:r w:rsidRPr="00442C59">
        <w:rPr>
          <w:rFonts w:ascii="Calibri" w:eastAsia="Calibri" w:hAnsi="Calibri" w:cs="Times New Roman"/>
        </w:rPr>
        <w:t>Zaměstnanec převzal výše uvedenou písemnost dne …………………</w:t>
      </w:r>
      <w:proofErr w:type="gramStart"/>
      <w:r w:rsidRPr="00442C59">
        <w:rPr>
          <w:rFonts w:ascii="Calibri" w:eastAsia="Calibri" w:hAnsi="Calibri" w:cs="Times New Roman"/>
        </w:rPr>
        <w:t>….., tímto</w:t>
      </w:r>
      <w:proofErr w:type="gramEnd"/>
      <w:r w:rsidRPr="00442C59">
        <w:rPr>
          <w:rFonts w:ascii="Calibri" w:eastAsia="Calibri" w:hAnsi="Calibri" w:cs="Times New Roman"/>
        </w:rPr>
        <w:t xml:space="preserve"> dnem se tak výpověď považuje za doručenou.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……………………………….</w:t>
      </w:r>
    </w:p>
    <w:p w:rsid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Podpis zaměstnance</w:t>
      </w:r>
    </w:p>
    <w:p w:rsidR="00442C59" w:rsidRDefault="00442C5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lastRenderedPageBreak/>
        <w:t>Zaměstnanec odmítl výše uvedenou písemnost dne …………………</w:t>
      </w:r>
      <w:proofErr w:type="gramStart"/>
      <w:r w:rsidRPr="00442C59">
        <w:rPr>
          <w:rFonts w:ascii="Calibri" w:eastAsia="Calibri" w:hAnsi="Calibri" w:cs="Times New Roman"/>
        </w:rPr>
        <w:t>….. převzít</w:t>
      </w:r>
      <w:proofErr w:type="gramEnd"/>
      <w:r w:rsidRPr="00442C59">
        <w:rPr>
          <w:rFonts w:ascii="Calibri" w:eastAsia="Calibri" w:hAnsi="Calibri" w:cs="Times New Roman"/>
        </w:rPr>
        <w:t>, čímž se tato písemnost považuje dle § 334 odst. 3 ZP</w:t>
      </w:r>
      <w:r>
        <w:rPr>
          <w:rFonts w:ascii="Calibri" w:eastAsia="Calibri" w:hAnsi="Calibri" w:cs="Times New Roman"/>
        </w:rPr>
        <w:t>r</w:t>
      </w:r>
      <w:r w:rsidRPr="00442C59">
        <w:rPr>
          <w:rFonts w:ascii="Calibri" w:eastAsia="Calibri" w:hAnsi="Calibri" w:cs="Times New Roman"/>
        </w:rPr>
        <w:t xml:space="preserve"> za doručenou. Odmítnutí převzetí písemnosti </w:t>
      </w:r>
      <w:r>
        <w:rPr>
          <w:rFonts w:ascii="Calibri" w:eastAsia="Calibri" w:hAnsi="Calibri" w:cs="Times New Roman"/>
        </w:rPr>
        <w:t>z</w:t>
      </w:r>
      <w:r w:rsidRPr="00442C59">
        <w:rPr>
          <w:rFonts w:ascii="Calibri" w:eastAsia="Calibri" w:hAnsi="Calibri" w:cs="Times New Roman"/>
        </w:rPr>
        <w:t>aměstnancem potvrzují níže uvedení a podepsaní svědci.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Jméno svědka: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Bydliště: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Podpis: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Jméno svědka: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Bydliště: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Podpis: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Jméno svědka: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Bydliště: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442C59" w:rsidRPr="00442C59" w:rsidRDefault="00442C59" w:rsidP="00442C5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>Podpis:</w:t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</w:r>
      <w:r w:rsidRPr="00442C59">
        <w:rPr>
          <w:rFonts w:ascii="Calibri" w:eastAsia="Calibri" w:hAnsi="Calibri" w:cs="Times New Roman"/>
        </w:rPr>
        <w:tab/>
        <w:t>……………………………………………………………………….</w:t>
      </w:r>
    </w:p>
    <w:p w:rsidR="00B4015A" w:rsidRDefault="00B4015A" w:rsidP="00442C59">
      <w:pPr>
        <w:jc w:val="both"/>
      </w:pPr>
    </w:p>
    <w:sectPr w:rsidR="00B401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D9" w:rsidRDefault="008175D9" w:rsidP="00187485">
      <w:pPr>
        <w:spacing w:after="0" w:line="240" w:lineRule="auto"/>
      </w:pPr>
      <w:r>
        <w:separator/>
      </w:r>
    </w:p>
  </w:endnote>
  <w:endnote w:type="continuationSeparator" w:id="0">
    <w:p w:rsidR="008175D9" w:rsidRDefault="008175D9" w:rsidP="0018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85" w:rsidRPr="00187485" w:rsidRDefault="00187485">
    <w:pPr>
      <w:pStyle w:val="Zpat"/>
      <w:pBdr>
        <w:top w:val="thinThickSmallGap" w:sz="24" w:space="1" w:color="823B0B" w:themeColor="accent2" w:themeShade="7F"/>
      </w:pBdr>
      <w:rPr>
        <w:rFonts w:eastAsiaTheme="majorEastAsia" w:cstheme="minorHAnsi"/>
        <w:b/>
      </w:rPr>
    </w:pPr>
    <w:r w:rsidRPr="00187485">
      <w:rPr>
        <w:rFonts w:eastAsiaTheme="majorEastAsia" w:cstheme="minorHAnsi"/>
        <w:b/>
      </w:rPr>
      <w:t>VZOR výpovědi pro nadbytečnost</w:t>
    </w:r>
    <w:r w:rsidRPr="00187485">
      <w:rPr>
        <w:rFonts w:eastAsiaTheme="majorEastAsia" w:cstheme="minorHAnsi"/>
        <w:b/>
      </w:rPr>
      <w:ptab w:relativeTo="margin" w:alignment="right" w:leader="none"/>
    </w:r>
    <w:r w:rsidRPr="00187485">
      <w:rPr>
        <w:rFonts w:eastAsiaTheme="majorEastAsia" w:cstheme="minorHAnsi"/>
        <w:b/>
      </w:rPr>
      <w:t xml:space="preserve">Stránka </w:t>
    </w:r>
    <w:r w:rsidRPr="00187485">
      <w:rPr>
        <w:rFonts w:eastAsiaTheme="minorEastAsia" w:cstheme="minorHAnsi"/>
        <w:b/>
      </w:rPr>
      <w:fldChar w:fldCharType="begin"/>
    </w:r>
    <w:r w:rsidRPr="00187485">
      <w:rPr>
        <w:rFonts w:cstheme="minorHAnsi"/>
        <w:b/>
      </w:rPr>
      <w:instrText>PAGE   \* MERGEFORMAT</w:instrText>
    </w:r>
    <w:r w:rsidRPr="00187485">
      <w:rPr>
        <w:rFonts w:eastAsiaTheme="minorEastAsia" w:cstheme="minorHAnsi"/>
        <w:b/>
      </w:rPr>
      <w:fldChar w:fldCharType="separate"/>
    </w:r>
    <w:r w:rsidR="00442C59" w:rsidRPr="00442C59">
      <w:rPr>
        <w:rFonts w:eastAsiaTheme="majorEastAsia" w:cstheme="minorHAnsi"/>
        <w:b/>
        <w:noProof/>
      </w:rPr>
      <w:t>3</w:t>
    </w:r>
    <w:r w:rsidRPr="00187485">
      <w:rPr>
        <w:rFonts w:eastAsiaTheme="majorEastAsia" w:cstheme="minorHAnsi"/>
        <w:b/>
      </w:rPr>
      <w:fldChar w:fldCharType="end"/>
    </w:r>
  </w:p>
  <w:p w:rsidR="00187485" w:rsidRDefault="001874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D9" w:rsidRDefault="008175D9" w:rsidP="00187485">
      <w:pPr>
        <w:spacing w:after="0" w:line="240" w:lineRule="auto"/>
      </w:pPr>
      <w:r>
        <w:separator/>
      </w:r>
    </w:p>
  </w:footnote>
  <w:footnote w:type="continuationSeparator" w:id="0">
    <w:p w:rsidR="008175D9" w:rsidRDefault="008175D9" w:rsidP="00187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BC"/>
    <w:rsid w:val="0008732E"/>
    <w:rsid w:val="000A6C09"/>
    <w:rsid w:val="000D020F"/>
    <w:rsid w:val="00170A19"/>
    <w:rsid w:val="00187485"/>
    <w:rsid w:val="00254BF0"/>
    <w:rsid w:val="00292439"/>
    <w:rsid w:val="00442C59"/>
    <w:rsid w:val="004931BC"/>
    <w:rsid w:val="005624EE"/>
    <w:rsid w:val="006212D0"/>
    <w:rsid w:val="00663793"/>
    <w:rsid w:val="008175D9"/>
    <w:rsid w:val="0084535F"/>
    <w:rsid w:val="00946D9D"/>
    <w:rsid w:val="00A02531"/>
    <w:rsid w:val="00A02DB5"/>
    <w:rsid w:val="00AD6ABC"/>
    <w:rsid w:val="00B36DCD"/>
    <w:rsid w:val="00B4015A"/>
    <w:rsid w:val="00B51F94"/>
    <w:rsid w:val="00BF1D47"/>
    <w:rsid w:val="00C04B5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D6AB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8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485"/>
  </w:style>
  <w:style w:type="paragraph" w:styleId="Zpat">
    <w:name w:val="footer"/>
    <w:basedOn w:val="Normln"/>
    <w:link w:val="ZpatChar"/>
    <w:uiPriority w:val="99"/>
    <w:unhideWhenUsed/>
    <w:rsid w:val="0018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485"/>
  </w:style>
  <w:style w:type="paragraph" w:styleId="Textbubliny">
    <w:name w:val="Balloon Text"/>
    <w:basedOn w:val="Normln"/>
    <w:link w:val="TextbublinyChar"/>
    <w:uiPriority w:val="99"/>
    <w:semiHidden/>
    <w:unhideWhenUsed/>
    <w:rsid w:val="0018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D6AB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8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485"/>
  </w:style>
  <w:style w:type="paragraph" w:styleId="Zpat">
    <w:name w:val="footer"/>
    <w:basedOn w:val="Normln"/>
    <w:link w:val="ZpatChar"/>
    <w:uiPriority w:val="99"/>
    <w:unhideWhenUsed/>
    <w:rsid w:val="0018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485"/>
  </w:style>
  <w:style w:type="paragraph" w:styleId="Textbubliny">
    <w:name w:val="Balloon Text"/>
    <w:basedOn w:val="Normln"/>
    <w:link w:val="TextbublinyChar"/>
    <w:uiPriority w:val="99"/>
    <w:semiHidden/>
    <w:unhideWhenUsed/>
    <w:rsid w:val="0018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Jakub Oliva, advokát</cp:lastModifiedBy>
  <cp:revision>2</cp:revision>
  <dcterms:created xsi:type="dcterms:W3CDTF">2020-03-18T12:08:00Z</dcterms:created>
  <dcterms:modified xsi:type="dcterms:W3CDTF">2020-05-28T12:11:00Z</dcterms:modified>
</cp:coreProperties>
</file>